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微软雅黑" w:hAnsi="微软雅黑" w:eastAsia="微软雅黑" w:cs="微软雅黑"/>
          <w:i w:val="0"/>
          <w:iCs w:val="0"/>
          <w:caps w:val="0"/>
          <w:color w:val="666666"/>
          <w:spacing w:val="0"/>
          <w:sz w:val="24"/>
          <w:szCs w:val="24"/>
        </w:rPr>
      </w:pPr>
      <w:r>
        <w:rPr>
          <w:rStyle w:val="5"/>
          <w:rFonts w:ascii="仿宋" w:hAnsi="仿宋" w:eastAsia="仿宋" w:cs="仿宋"/>
          <w:b/>
          <w:bCs/>
          <w:i w:val="0"/>
          <w:iCs w:val="0"/>
          <w:caps w:val="0"/>
          <w:color w:val="666666"/>
          <w:spacing w:val="0"/>
          <w:kern w:val="0"/>
          <w:sz w:val="36"/>
          <w:szCs w:val="36"/>
          <w:bdr w:val="none" w:color="auto" w:sz="0" w:space="0"/>
          <w:shd w:val="clear" w:fill="FFFFFF"/>
          <w:lang w:val="en-US" w:eastAsia="zh-CN" w:bidi="ar"/>
        </w:rPr>
        <w:t>泽州县国有建设用地使用权出让网上挂牌公告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微软雅黑" w:hAnsi="微软雅黑" w:eastAsia="微软雅黑" w:cs="微软雅黑"/>
          <w:i w:val="0"/>
          <w:iCs w:val="0"/>
          <w:caps w:val="0"/>
          <w:color w:val="666666"/>
          <w:spacing w:val="0"/>
          <w:sz w:val="24"/>
          <w:szCs w:val="24"/>
        </w:rPr>
      </w:pPr>
      <w:r>
        <w:rPr>
          <w:rStyle w:val="5"/>
          <w:rFonts w:hint="eastAsia" w:ascii="仿宋" w:hAnsi="仿宋" w:eastAsia="仿宋" w:cs="仿宋"/>
          <w:b/>
          <w:bCs/>
          <w:i w:val="0"/>
          <w:iCs w:val="0"/>
          <w:caps w:val="0"/>
          <w:color w:val="666666"/>
          <w:spacing w:val="0"/>
          <w:kern w:val="0"/>
          <w:sz w:val="36"/>
          <w:szCs w:val="36"/>
          <w:bdr w:val="none" w:color="auto" w:sz="0" w:space="0"/>
          <w:shd w:val="clear" w:fill="FFFFFF"/>
          <w:lang w:val="en-US" w:eastAsia="zh-CN" w:bidi="ar"/>
        </w:rPr>
        <w:t>（</w:t>
      </w:r>
      <w:bookmarkStart w:id="0" w:name="_GoBack"/>
      <w:r>
        <w:rPr>
          <w:rStyle w:val="5"/>
          <w:rFonts w:hint="eastAsia" w:ascii="仿宋" w:hAnsi="仿宋" w:eastAsia="仿宋" w:cs="仿宋"/>
          <w:b/>
          <w:bCs/>
          <w:i w:val="0"/>
          <w:iCs w:val="0"/>
          <w:caps w:val="0"/>
          <w:color w:val="666666"/>
          <w:spacing w:val="0"/>
          <w:kern w:val="0"/>
          <w:sz w:val="36"/>
          <w:szCs w:val="36"/>
          <w:u w:val="single"/>
          <w:shd w:val="clear" w:fill="FFFFFF"/>
          <w:lang w:val="en-US" w:eastAsia="zh-CN" w:bidi="ar"/>
        </w:rPr>
        <w:t>泽自然资告字[2024]002号</w:t>
      </w:r>
      <w:bookmarkEnd w:id="0"/>
      <w:r>
        <w:rPr>
          <w:rStyle w:val="5"/>
          <w:rFonts w:hint="eastAsia" w:ascii="仿宋" w:hAnsi="仿宋" w:eastAsia="仿宋" w:cs="仿宋"/>
          <w:b/>
          <w:bCs/>
          <w:i w:val="0"/>
          <w:iCs w:val="0"/>
          <w:caps w:val="0"/>
          <w:color w:val="666666"/>
          <w:spacing w:val="0"/>
          <w:kern w:val="0"/>
          <w:sz w:val="36"/>
          <w:szCs w:val="36"/>
          <w:bdr w:val="none" w:color="auto" w:sz="0" w:space="0"/>
          <w:shd w:val="clear"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经</w:t>
      </w:r>
      <w:r>
        <w:rPr>
          <w:rFonts w:hint="eastAsia" w:ascii="仿宋" w:hAnsi="仿宋" w:eastAsia="仿宋" w:cs="仿宋"/>
          <w:i w:val="0"/>
          <w:iCs w:val="0"/>
          <w:caps w:val="0"/>
          <w:color w:val="666666"/>
          <w:spacing w:val="0"/>
          <w:sz w:val="27"/>
          <w:szCs w:val="27"/>
          <w:u w:val="single"/>
          <w:bdr w:val="none" w:color="auto" w:sz="0" w:space="0"/>
          <w:shd w:val="clear" w:fill="FFFFFF"/>
        </w:rPr>
        <w:t>泽州县人民政府</w:t>
      </w:r>
      <w:r>
        <w:rPr>
          <w:rFonts w:hint="eastAsia" w:ascii="仿宋" w:hAnsi="仿宋" w:eastAsia="仿宋" w:cs="仿宋"/>
          <w:i w:val="0"/>
          <w:iCs w:val="0"/>
          <w:caps w:val="0"/>
          <w:color w:val="666666"/>
          <w:spacing w:val="0"/>
          <w:sz w:val="27"/>
          <w:szCs w:val="27"/>
          <w:bdr w:val="none" w:color="auto" w:sz="0" w:space="0"/>
          <w:shd w:val="clear" w:fill="FFFFFF"/>
        </w:rPr>
        <w:t>批准，</w:t>
      </w:r>
      <w:r>
        <w:rPr>
          <w:rFonts w:hint="eastAsia" w:ascii="仿宋" w:hAnsi="仿宋" w:eastAsia="仿宋" w:cs="仿宋"/>
          <w:i w:val="0"/>
          <w:iCs w:val="0"/>
          <w:caps w:val="0"/>
          <w:color w:val="666666"/>
          <w:spacing w:val="0"/>
          <w:sz w:val="27"/>
          <w:szCs w:val="27"/>
          <w:u w:val="single"/>
          <w:bdr w:val="none" w:color="auto" w:sz="0" w:space="0"/>
          <w:shd w:val="clear" w:fill="FFFFFF"/>
        </w:rPr>
        <w:t>泽州县自然资源局</w:t>
      </w:r>
      <w:r>
        <w:rPr>
          <w:rFonts w:hint="eastAsia" w:ascii="仿宋" w:hAnsi="仿宋" w:eastAsia="仿宋" w:cs="仿宋"/>
          <w:i w:val="0"/>
          <w:iCs w:val="0"/>
          <w:caps w:val="0"/>
          <w:color w:val="666666"/>
          <w:spacing w:val="0"/>
          <w:sz w:val="27"/>
          <w:szCs w:val="27"/>
          <w:bdr w:val="none" w:color="auto" w:sz="0" w:space="0"/>
          <w:shd w:val="clear" w:fill="FFFFFF"/>
        </w:rPr>
        <w:t>决定以网上挂牌方式出让以下5（幅）宗地的国有建设用地使用权，并指定</w:t>
      </w:r>
      <w:r>
        <w:rPr>
          <w:rFonts w:hint="eastAsia" w:ascii="仿宋" w:hAnsi="仿宋" w:eastAsia="仿宋" w:cs="仿宋"/>
          <w:i w:val="0"/>
          <w:iCs w:val="0"/>
          <w:caps w:val="0"/>
          <w:color w:val="666666"/>
          <w:spacing w:val="0"/>
          <w:sz w:val="27"/>
          <w:szCs w:val="27"/>
          <w:u w:val="single"/>
          <w:bdr w:val="none" w:color="auto" w:sz="0" w:space="0"/>
          <w:shd w:val="clear" w:fill="FFFFFF"/>
        </w:rPr>
        <w:t>泽州县自然资源收储中心</w:t>
      </w:r>
      <w:r>
        <w:rPr>
          <w:rFonts w:hint="eastAsia" w:ascii="仿宋" w:hAnsi="仿宋" w:eastAsia="仿宋" w:cs="仿宋"/>
          <w:i w:val="0"/>
          <w:iCs w:val="0"/>
          <w:caps w:val="0"/>
          <w:color w:val="666666"/>
          <w:spacing w:val="0"/>
          <w:sz w:val="27"/>
          <w:szCs w:val="27"/>
          <w:bdr w:val="none" w:color="auto" w:sz="0" w:space="0"/>
          <w:shd w:val="clear" w:fill="FFFFFF"/>
        </w:rPr>
        <w:t>组织实施。现将有关事项公告如下：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一、挂牌宗地的基本情况和规划指标要求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88"/>
        <w:gridCol w:w="461"/>
        <w:gridCol w:w="970"/>
        <w:gridCol w:w="800"/>
        <w:gridCol w:w="1055"/>
        <w:gridCol w:w="630"/>
        <w:gridCol w:w="800"/>
        <w:gridCol w:w="801"/>
        <w:gridCol w:w="830"/>
        <w:gridCol w:w="377"/>
        <w:gridCol w:w="462"/>
        <w:gridCol w:w="556"/>
        <w:gridCol w:w="29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2024-20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东属片区神南路西侧，纬一路南侧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32048平方米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商业服务业用地兼容物流仓储用地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FAR≤1.5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D≤45%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3100万元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2170万元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62万元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2024-19</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东属片区神南路西侧，红星东街南侧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30130平方米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商业服务业用地兼容物流仓储用地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FAR≤1.5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D≤45%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2900万元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2030万元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58万元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2024-18</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东属片区经一路西侧，园区道路北侧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10145平方米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物流仓储用地兼容商业服务业用地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1.0≤FAR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40%≤D</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≤24</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900万元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630万元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18万元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2024-17A</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东属片区经一路东侧，红星东街南侧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44448平方米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物流仓储用地兼容商业服务业用地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1.2≤FAR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40%≤D</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2800万元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80万元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2022-01</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晋张路北侧，经三路西侧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55467平方米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物流仓储用地兼容商业服务业设施用地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0.8≤FAR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40%≤D</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5000万元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3500万元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100万元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具体以规划部门出具的规划指标为准，详见《规划条件书》。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二、竞买申请条件和要求。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三、确定竞得入选人方式。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本次国有建设用地使用权网上挂牌出让按照报价最高且不低于底价者的原则确定竞得入选人。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四、报名及保证金截止时间。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竞买申请人可在</w:t>
      </w:r>
      <w:r>
        <w:rPr>
          <w:rFonts w:hint="eastAsia" w:ascii="仿宋" w:hAnsi="仿宋" w:eastAsia="仿宋" w:cs="仿宋"/>
          <w:i w:val="0"/>
          <w:iCs w:val="0"/>
          <w:caps w:val="0"/>
          <w:color w:val="666666"/>
          <w:spacing w:val="0"/>
          <w:sz w:val="27"/>
          <w:szCs w:val="27"/>
          <w:u w:val="single"/>
          <w:bdr w:val="none" w:color="auto" w:sz="0" w:space="0"/>
          <w:shd w:val="clear" w:fill="FFFFFF"/>
        </w:rPr>
        <w:t>2024年05月25日00时00分至2024年06月13日23时59分</w:t>
      </w:r>
      <w:r>
        <w:rPr>
          <w:rFonts w:hint="eastAsia" w:ascii="仿宋" w:hAnsi="仿宋" w:eastAsia="仿宋" w:cs="仿宋"/>
          <w:i w:val="0"/>
          <w:iCs w:val="0"/>
          <w:caps w:val="0"/>
          <w:color w:val="666666"/>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666666"/>
          <w:spacing w:val="0"/>
          <w:sz w:val="27"/>
          <w:szCs w:val="27"/>
          <w:u w:val="single"/>
          <w:bdr w:val="none" w:color="auto" w:sz="0" w:space="0"/>
          <w:shd w:val="clear" w:fill="FFFFFF"/>
        </w:rPr>
        <w:t>2024年06月13日23时59分</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温馨提示：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1、竞买人必须将竞买保证金交入网上交易系统生成的竞买保证金子账号内。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五、挂牌时间及网址。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挂牌报价时间为：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2024-20</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2024-06-14 00:00:00至2024-06-28 17:00:00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2024-19</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2024-06-14 00:00:00至2024-06-28 17:00:00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2024-18</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2024-06-14 00:00:00至2024-06-28 17:00:00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2024-17A</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2024-06-14 00:00:00至2024-06-28 17:00:00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2022-01</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2024-06-14 00:00:00至2024-06-28 17:00:00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挂牌网址：网上交易系统（https://zrzyt.shanxi.gov.cn/sxjy/）。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六、出让资料获取方式。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七、资格审查。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八、风险提示。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pPr>
        <w:keepNext w:val="0"/>
        <w:keepLines w:val="0"/>
        <w:widowControl/>
        <w:suppressLineNumbers w:val="0"/>
        <w:shd w:val="clear" w:fill="FFFFFF"/>
        <w:spacing w:before="75" w:beforeAutospacing="0" w:after="270" w:afterAutospacing="0" w:line="540" w:lineRule="atLeast"/>
        <w:ind w:left="75" w:right="75" w:firstLine="0"/>
        <w:jc w:val="left"/>
        <w:rPr>
          <w:rFonts w:hint="eastAsia" w:ascii="仿宋" w:hAnsi="仿宋" w:eastAsia="仿宋" w:cs="仿宋"/>
          <w:i w:val="0"/>
          <w:iCs w:val="0"/>
          <w:caps w:val="0"/>
          <w:color w:val="666666"/>
          <w:spacing w:val="0"/>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联系电话：0356-3033055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联系人：缑世权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泽州县自然资源局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2024年05月25日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5ZWJhZGRkNWFmZjkyMzVmNjk0ZGY3YmRhY2EyOGUifQ=="/>
  </w:docVars>
  <w:rsids>
    <w:rsidRoot w:val="778A7FBF"/>
    <w:rsid w:val="778A7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WPS2013GOV-0070131113</Company>
  <Pages>5</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2024-07-08T07:00:00Z</dcterms:created>
  <dc:creator>芸之意</dc:creator>
  <cp:lastModifiedBy>芸之意</cp:lastModifiedBy>
  <dcterms:modified xsi:type="dcterms:W3CDTF">2024-07-08T07:01:15Z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A413AE7187744432AA66EF9B71604575_11</vt:lpwstr>
  </property>
</Properties>
</file>